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3EBE68">
      <w:pPr>
        <w:pBdr>
          <w:bottom w:val="thinThickMediumGap" w:color="FF0000" w:sz="18" w:space="1"/>
        </w:pBdr>
        <w:tabs>
          <w:tab w:val="left" w:pos="7600"/>
        </w:tabs>
        <w:spacing w:line="800" w:lineRule="exact"/>
        <w:ind w:firstLine="513" w:firstLineChars="100"/>
        <w:rPr>
          <w:rStyle w:val="22"/>
          <w:rFonts w:ascii="方正小标宋简体" w:eastAsia="方正小标宋简体"/>
          <w:b/>
          <w:bCs/>
          <w:color w:val="FF0000"/>
          <w:w w:val="75"/>
          <w:sz w:val="68"/>
          <w:szCs w:val="68"/>
        </w:rPr>
      </w:pPr>
      <w:bookmarkStart w:id="0" w:name="_GoBack"/>
      <w:bookmarkEnd w:id="0"/>
      <w:r>
        <w:rPr>
          <w:rStyle w:val="22"/>
          <w:rFonts w:ascii="方正小标宋简体" w:eastAsia="方正小标宋简体"/>
          <w:b/>
          <w:bCs/>
          <w:color w:val="FF0000"/>
          <w:w w:val="75"/>
          <w:sz w:val="68"/>
          <w:szCs w:val="68"/>
        </w:rPr>
        <w:t>共青团湖南理工职业技术学院委员会</w:t>
      </w:r>
    </w:p>
    <w:p w14:paraId="3BC2957C">
      <w:pPr>
        <w:spacing w:line="300" w:lineRule="exact"/>
        <w:jc w:val="center"/>
        <w:rPr>
          <w:rStyle w:val="22"/>
        </w:rPr>
      </w:pPr>
    </w:p>
    <w:p w14:paraId="43B0308E">
      <w:pPr>
        <w:jc w:val="center"/>
        <w:rPr>
          <w:rFonts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仿宋_GB2312" w:hAnsi="仿宋" w:eastAsia="仿宋_GB2312" w:cs="仿宋"/>
          <w:sz w:val="30"/>
          <w:szCs w:val="30"/>
        </w:rPr>
        <w:t>湘理职院团[2025]1号</w:t>
      </w:r>
    </w:p>
    <w:p w14:paraId="38D30979">
      <w:pPr>
        <w:adjustRightInd w:val="0"/>
        <w:snapToGrid w:val="0"/>
        <w:spacing w:line="660" w:lineRule="exact"/>
        <w:ind w:firstLine="442" w:firstLineChars="100"/>
        <w:jc w:val="both"/>
        <w:rPr>
          <w:rFonts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关于举办2025年“挑战杯”湖南省大学生</w:t>
      </w:r>
    </w:p>
    <w:p w14:paraId="3D5DA1CD">
      <w:pPr>
        <w:adjustRightInd w:val="0"/>
        <w:snapToGrid w:val="0"/>
        <w:spacing w:line="660" w:lineRule="exact"/>
        <w:jc w:val="center"/>
        <w:rPr>
          <w:rFonts w:ascii="方正小标宋简体" w:hAnsi="方正小标宋简体" w:eastAsia="方正小标宋简体" w:cs="方正小标宋简体"/>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color w:val="000000" w:themeColor="text1"/>
          <w:sz w:val="44"/>
          <w:szCs w:val="44"/>
          <w14:textFill>
            <w14:solidFill>
              <w14:schemeClr w14:val="tx1"/>
            </w14:solidFill>
          </w14:textFill>
        </w:rPr>
        <w:t>课外学术科技作品竞赛校内选拔赛的通知</w:t>
      </w:r>
    </w:p>
    <w:p w14:paraId="5D05D048">
      <w:pPr>
        <w:widowControl/>
        <w:spacing w:line="560" w:lineRule="exact"/>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各二级学院：</w:t>
      </w:r>
    </w:p>
    <w:p w14:paraId="799E09D6">
      <w:pPr>
        <w:spacing w:line="560" w:lineRule="exact"/>
        <w:ind w:firstLine="640" w:firstLineChars="200"/>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为深入贯彻落实党的二十大和二十届二中、三中全会精神，进一步引导和鼓励青年学生培养科学精神和科学态度，积极学习科学知识和科学方法，培养具有创新意识、实践能力和创业精神的卓越创新人才，积极备战2025年湖南省“挑战杯”大学生课外学术科技作品竞赛，经研究，决定举办2025年湖南省“挑战杯”大学生课外学术科技作品竞赛校内选拔赛，现将有关事项通知如下：</w:t>
      </w:r>
    </w:p>
    <w:p w14:paraId="7D83C82C">
      <w:pPr>
        <w:autoSpaceDE w:val="0"/>
        <w:autoSpaceDN w:val="0"/>
        <w:adjustRightInd w:val="0"/>
        <w:snapToGrid w:val="0"/>
        <w:spacing w:beforeLines="50" w:afterLines="50" w:line="560" w:lineRule="exact"/>
        <w:ind w:firstLine="643" w:firstLineChars="200"/>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一、竞赛组织机构</w:t>
      </w:r>
    </w:p>
    <w:p w14:paraId="05FB403C">
      <w:pPr>
        <w:spacing w:beforeLines="30" w:afterLines="30" w:line="560" w:lineRule="exact"/>
        <w:ind w:firstLine="643"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（一）领导小组</w:t>
      </w:r>
    </w:p>
    <w:p w14:paraId="2512E0FC">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组  长：王凤斌</w:t>
      </w:r>
    </w:p>
    <w:p w14:paraId="2E22B45D">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副组长：李强、张强、陈柏舟</w:t>
      </w:r>
    </w:p>
    <w:p w14:paraId="5552C63E">
      <w:pPr>
        <w:pStyle w:val="23"/>
        <w:spacing w:line="564" w:lineRule="exact"/>
        <w:ind w:firstLine="640"/>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成</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员：</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张访问、唐洪江、赵奇、范海军、杨益梅、胡萍</w:t>
      </w:r>
    </w:p>
    <w:p w14:paraId="610351BC">
      <w:pPr>
        <w:spacing w:beforeLines="30" w:afterLines="30" w:line="560" w:lineRule="exact"/>
        <w:ind w:firstLine="643"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（二）评审委员会</w:t>
      </w:r>
    </w:p>
    <w:p w14:paraId="0F4D6B84">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由学校学术委员会成员和相关学科的校外专家组成。</w:t>
      </w:r>
    </w:p>
    <w:p w14:paraId="11066F7F">
      <w:pPr>
        <w:spacing w:beforeLines="30" w:afterLines="30" w:line="560" w:lineRule="exact"/>
        <w:ind w:firstLine="643"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（三）纪律与监督委员会</w:t>
      </w:r>
    </w:p>
    <w:p w14:paraId="1527C454">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由学校纪检和相关职能部门工作人员组成，对竞赛组织评审相关工作进行全程监督，对违反竞赛纪律的行为进行处理。</w:t>
      </w:r>
    </w:p>
    <w:p w14:paraId="1E7ABB23">
      <w:pPr>
        <w:spacing w:beforeLines="30" w:afterLines="30" w:line="560" w:lineRule="exact"/>
        <w:ind w:firstLine="643"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（四）竞赛秘书处</w:t>
      </w:r>
    </w:p>
    <w:p w14:paraId="36306C94">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由相关职能部门和各二级学院竞赛活动主要负责人组成，办公室设在校团委。</w:t>
      </w:r>
    </w:p>
    <w:p w14:paraId="4281DEE9">
      <w:pPr>
        <w:autoSpaceDE w:val="0"/>
        <w:autoSpaceDN w:val="0"/>
        <w:adjustRightInd w:val="0"/>
        <w:snapToGrid w:val="0"/>
        <w:spacing w:beforeLines="50" w:afterLines="50" w:line="560" w:lineRule="exact"/>
        <w:ind w:firstLine="643" w:firstLineChars="200"/>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二、参赛要求</w:t>
      </w:r>
    </w:p>
    <w:p w14:paraId="0C28E5D5">
      <w:pPr>
        <w:spacing w:beforeLines="30" w:afterLines="30" w:line="560" w:lineRule="exact"/>
        <w:ind w:firstLine="643"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（一）参赛对象</w:t>
      </w:r>
    </w:p>
    <w:p w14:paraId="721996E4">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凡我校2025年6月1日以前正式注册的全日制非成人教育的在校学生都可申报作品参赛。</w:t>
      </w:r>
    </w:p>
    <w:p w14:paraId="6ED08DEA">
      <w:pPr>
        <w:spacing w:beforeLines="30" w:afterLines="30" w:line="560" w:lineRule="exact"/>
        <w:ind w:firstLine="643"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（二）作品要求</w:t>
      </w:r>
    </w:p>
    <w:p w14:paraId="042A8AED">
      <w:pPr>
        <w:spacing w:line="560" w:lineRule="exact"/>
        <w:ind w:firstLine="643"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作品参赛资格：</w:t>
      </w:r>
    </w:p>
    <w:p w14:paraId="79EB2AF5">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申报参赛的作品必须是2025年6月1日前两年内完成的学生课外学术科技或者社会实践活动成果，可分为个人作品和集体作品。每件作品指导老师原则上不超过3名。</w:t>
      </w:r>
    </w:p>
    <w:p w14:paraId="63792464">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申报个人作品的，申报者必须承担申报作品60%以上的研究工作，作品鉴定证书、专利证书及发表的有关作品上的署名均应为第一作者，合作者必须是学生且不得超过2人。</w:t>
      </w:r>
    </w:p>
    <w:p w14:paraId="758702E7">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凡作者超过3人的项目或者不超过3人，但无法区分第一作者的项目，均须申报集体作品。集体作品的作者必须均为学生，原则上不超过8人。凡有合作者的个人作品或者集体作品，均按学历最高的作者划分至本专科生类进行评审。多个学院学生合作申报的项目，必须提前注明学生、学院信息，并将作品项目名称、参赛学生和指导教师等关键信息在学生所在学院进行公示五天后，将公示截图随作品一同报送。</w:t>
      </w:r>
    </w:p>
    <w:p w14:paraId="42961DA6">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毕业设计和课程设计（论文）、学年论文和学位论文、国际竞赛中获奖的作品、获国家级奖励成果（含本竞赛主办单位参与举办的其他全国性竞赛的获奖作品）等均不在申报范围之列。</w:t>
      </w:r>
    </w:p>
    <w:p w14:paraId="78200B49">
      <w:pPr>
        <w:spacing w:beforeLines="30" w:afterLines="30" w:line="560" w:lineRule="exact"/>
        <w:ind w:firstLine="643"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（三）主体赛事</w:t>
      </w:r>
    </w:p>
    <w:p w14:paraId="05C7F683">
      <w:pPr>
        <w:spacing w:line="560" w:lineRule="exact"/>
        <w:ind w:firstLine="643"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1</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比赛内容</w:t>
      </w:r>
    </w:p>
    <w:p w14:paraId="5A5571A3">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申报参赛的作品分为自然科学类学术论文、哲学社会科学类社会调查报告、科技发明制作三类：</w:t>
      </w:r>
    </w:p>
    <w:p w14:paraId="1608BC64">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自然科学类学术论文。提交资料包括：申报书、作品（含学术论文+支撑材料，8000字以内），支撑材料可包括对论文的进一步阐释、已发表刊物论文页扫描件、影响因子证明、查新证明、检索证明、实验相关照片、图片、扫描件等。</w:t>
      </w:r>
    </w:p>
    <w:p w14:paraId="6E04F8D4">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哲学社会科学类社会调查报告和学术论文。围绕发展成就、文明文化、美丽中国、民生福祉、中国之治等5个组别形成社会调查报告，其中，“发展成就”可以着眼于构建高水平社会主义市场经济体制、建设现代化产业体系、全面推进乡村振兴、促进区域协调发展、推进高水平对外开放、科技自立自强等；“文明文化”可以着眼于强化社会主义意识形态、社会文明建设、文化事业和文化产业、文化传播等；“美丽中国”可以着眼于绿色低碳、污染防治、生物多样性保护、能源清洁利用等；“民生福祉”可以着眼于建设高质量教育体系、完善分配制度、促进就业、健全社会保障、推进健康中国建设、疫情防控等；“中国之治”可以着眼于全过程人民民主、全面依法治国、维护国家安全、完善社会治理等。提交资料包括：申报书、作品（含调研报告+支撑材料，调研报告15000字以内），支撑材料可包括被采用的为党政领导部门、企事业单位所做的各类发展规划、改革方案和咨询报告，同时附原件及采用单位使用证明的复印件和有关鉴定材料，调研过程的问卷、访谈记录、照片、发表的相关论文、相关单位（机构）的反馈、相关奖励证明等。</w:t>
      </w:r>
    </w:p>
    <w:p w14:paraId="1E271B4F">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3）科技发明制作。A类指科技含量较高、制作投入较大的作品；B类指投入较少，且为生产技术或者社会生活带来便利的小发明、小制作等。提交资料包括：申报书、作品（含研究报告+支撑材料），研究报告可图文并茂，要写出作品制作的目的意义、制作过程、结果、创新点、实际应用情况（或应用前景）、存在不足及下一步需要完善的工作，报告中需包括图表、曲线、试验数据、原理结构图、外观图或照片；支撑材料可包括获得的专利、软件著作权、奖项证书、鉴定证书、应用证书、应用证明及其他资质材料等。</w:t>
      </w:r>
    </w:p>
    <w:p w14:paraId="5B90871C">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4）参赛作品涉及下述内容时，必须由申报单位提供有关部门的证明材料，否则不予评审：动植物新品种的发现或培育，须有省级以上农科部门或科研院所开具的证明；对国家保护动植物的研究，须有省级以上林业部门开具的证明（证明该项研究的过程中未对所研究的动植物繁衍、生长产生不利的影响）；新药物的研究，须有卫生行政部门授权机构的鉴定证明；医疗器械的研究，须有卫生行政部门授权机构的鉴定证明；医疗卫生研究，须通过专家鉴定，并最好附上在公开发行的专业性杂志上发表过的文章；涉及燃气用具等与人民生命财产安全有关用具的研究，须有国家相应行政部门授权机构的认定证明。</w:t>
      </w:r>
    </w:p>
    <w:p w14:paraId="6ED73CA8">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（5）参赛类别参照第十五届“挑战杯”湖南省大学生课外学术科技作品竞赛章程进行设置，第十六届大赛类别信息若有变化，另行通知。</w:t>
      </w:r>
    </w:p>
    <w:p w14:paraId="15ECFA32">
      <w:pPr>
        <w:spacing w:line="560" w:lineRule="exact"/>
        <w:ind w:firstLine="643"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作品申报</w:t>
      </w:r>
    </w:p>
    <w:p w14:paraId="67C4DF25">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（1）参赛作品可分为个人和集体申报作品</w:t>
      </w:r>
    </w:p>
    <w:p w14:paraId="4D5B6608">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个人申报作品的，申报者必须承担作品60%以上的研究工作，作品鉴定证书、专利证书及发表的有关作品上的署名均为第一作者，合作者必须是学生且不得超过两人；凡作者超过三人的项目或作者不超过三人但无法区分第一作者的项目，均须申报集体作品。申报集体作品除填写集体作品名称外，还要注明一位同学为集体项目的代表，集体作者必须均是学生。</w:t>
      </w:r>
    </w:p>
    <w:p w14:paraId="71E3D9F0">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（2）组队要求</w:t>
      </w:r>
    </w:p>
    <w:p w14:paraId="269B4109">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校赛阶段，每个团队人数不可超过8人（一般由3-8人组成），每个项目不超过3名指导教师。省赛和国赛阶段，按照相应要求限定团队成员、指导教师数量。鼓励跨学院、跨专业组队，同时注重年级结构的合理安排。团队要主动与指导教师对接，要注重发挥指导教师在选题、调研方案制定、大纲拟定、作品撰写等方面的导引作用。参赛作品的指导教师原则上</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由</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学生自己联络。</w:t>
      </w:r>
    </w:p>
    <w:p w14:paraId="63CBACA9">
      <w:pPr>
        <w:spacing w:beforeLines="30" w:afterLines="30" w:line="560" w:lineRule="exact"/>
        <w:ind w:firstLine="643"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（四）作品申报要求</w:t>
      </w:r>
    </w:p>
    <w:p w14:paraId="38553179">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参赛作品须经作者本人或集体申报，每人以第一作者身份限报1件，每件作品需经学院审核确认（作品申报书见附件1）后上报。</w:t>
      </w:r>
    </w:p>
    <w:p w14:paraId="6AE4DE6D">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参赛作品须经过本单位进行资格及形式审查,初步评定后方可上报竞赛秘书处，竞赛秘书处将根据评审规则对参赛作品进行资格审查。</w:t>
      </w:r>
    </w:p>
    <w:p w14:paraId="79C6FE3E">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自然科学类学术论文、哲学社会科学类社会调查报告两类作品将以文本（若是外文，请附中文本）形式参赛，请以4号楷体字打印（A4纸），附于申报书后。学术论文字数在8000字以内，</w:t>
      </w:r>
    </w:p>
    <w:p w14:paraId="1131ABE0">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调查报告在15000字以内。科技发明制作类作品将以实物、模型展示，结合文本、图片、视频等说明的形式参赛。同一作品不得同时参加主体赛事自然科学类学术论文、哲学社会科学类调查报告、科技发明制作作品评比，往届报送过的作品不得重复报送。</w:t>
      </w:r>
    </w:p>
    <w:p w14:paraId="0B32E2FE">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参赛作品涉及下列内容时，须由申报者提供有关部门的证明材料，否则不予评审：动植物新品种的发现或培育，须有省级以上农科部门或科研院所开具证明；对国家保护动植物的研究，须有省级以上林业部门开具证明，证明该项研究的过程中未产生对所研究的动植物繁衍、生长不利的影响；新药物的研究须有卫生行政部门授权机构的鉴定证明；医疗卫生研究须通过专家鉴定，并最好附有在公开发行的专业性杂志上发表过的文章；涉及燃气用具等与人民生命财产安全有关用具的研究，须有国家相应行政部门授权机构的认定证明。</w:t>
      </w:r>
    </w:p>
    <w:p w14:paraId="53609747">
      <w:pPr>
        <w:spacing w:beforeLines="30" w:afterLines="30" w:line="560" w:lineRule="exact"/>
        <w:ind w:firstLine="643"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（六）评审规则</w:t>
      </w:r>
    </w:p>
    <w:p w14:paraId="4CB84A93">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评审过程中综合考虑作品的科学性、先进性、现实意义等方面因素。其中，自然科学类学术论文侧重考核基础学科学术探索的前沿性和学术性，哲学社会科学类社会调查报告侧重考核与经济社会发展热点难点问题的结合程度和前瞻意义，科技发明制作侧重考核作品的应用价值和转化前景。</w:t>
      </w:r>
    </w:p>
    <w:p w14:paraId="588580B5">
      <w:pPr>
        <w:spacing w:beforeLines="30" w:afterLines="30" w:line="560" w:lineRule="exact"/>
        <w:ind w:firstLine="643"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（七）作品自查</w:t>
      </w:r>
    </w:p>
    <w:p w14:paraId="0B45E381">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竞赛活动增加作品自查环节。申报单位签订承诺书（附件4），承诺作品符合竞赛活动申报作品的要求，接受竞赛组委会抽查。一旦发现不符合申报要求的作品，将取消参赛资格，该单位不得补报作品且单位总分为零。经核实有舞弊、抄袭、作假等的作品，将取消该单位参评集体奖项的资格。</w:t>
      </w:r>
    </w:p>
    <w:p w14:paraId="4A48FE43">
      <w:pPr>
        <w:autoSpaceDE w:val="0"/>
        <w:autoSpaceDN w:val="0"/>
        <w:adjustRightInd w:val="0"/>
        <w:snapToGrid w:val="0"/>
        <w:spacing w:beforeLines="50" w:afterLines="50" w:line="560" w:lineRule="exact"/>
        <w:ind w:firstLine="643" w:firstLineChars="200"/>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三、竞赛流程及时间安排</w:t>
      </w:r>
    </w:p>
    <w:p w14:paraId="4E392088">
      <w:pPr>
        <w:spacing w:line="560" w:lineRule="exact"/>
        <w:ind w:firstLine="643"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（一）学院竞赛阶段</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（即日-2025年3月21日）</w:t>
      </w:r>
    </w:p>
    <w:p w14:paraId="4B6E7860">
      <w:pPr>
        <w:pStyle w:val="9"/>
        <w:widowControl w:val="0"/>
        <w:overflowPunct w:val="0"/>
        <w:spacing w:before="0" w:beforeAutospacing="0" w:after="0" w:afterAutospacing="0" w:line="560" w:lineRule="exact"/>
        <w:ind w:firstLine="640" w:firstLineChars="200"/>
        <w:jc w:val="both"/>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各学院成立专家小组，指导参赛同学准备项目材料，并对学生报送的竞赛项目进行初选和评审。学院初赛后，参照学院学生规模，向学校推报优秀项目。</w:t>
      </w:r>
    </w:p>
    <w:p w14:paraId="255E3315">
      <w:pPr>
        <w:pStyle w:val="9"/>
        <w:widowControl w:val="0"/>
        <w:overflowPunct w:val="0"/>
        <w:spacing w:before="0" w:beforeAutospacing="0" w:after="0" w:afterAutospacing="0" w:line="560" w:lineRule="exact"/>
        <w:ind w:firstLine="640" w:firstLineChars="200"/>
        <w:jc w:val="both"/>
        <w:rPr>
          <w:rFonts w:hint="eastAsia" w:ascii="方正仿宋_GB2312" w:hAnsi="方正仿宋_GB2312" w:eastAsia="方正仿宋_GB2312" w:cs="方正仿宋_GB2312"/>
          <w:color w:val="000000" w:themeColor="text1"/>
          <w:kern w:val="2"/>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（1）各二级学院推报5个项目</w:t>
      </w:r>
      <w:r>
        <w:rPr>
          <w:rFonts w:hint="eastAsia" w:ascii="方正仿宋_GB2312" w:hAnsi="方正仿宋_GB2312" w:eastAsia="方正仿宋_GB2312" w:cs="方正仿宋_GB2312"/>
          <w:color w:val="000000" w:themeColor="text1"/>
          <w:kern w:val="2"/>
          <w:sz w:val="32"/>
          <w:szCs w:val="32"/>
          <w:lang w:eastAsia="zh-CN"/>
          <w14:textFill>
            <w14:solidFill>
              <w14:schemeClr w14:val="tx1"/>
            </w14:solidFill>
          </w14:textFill>
        </w:rPr>
        <w:t>。</w:t>
      </w:r>
    </w:p>
    <w:p w14:paraId="737CF449">
      <w:pPr>
        <w:pStyle w:val="9"/>
        <w:widowControl w:val="0"/>
        <w:overflowPunct w:val="0"/>
        <w:spacing w:before="0" w:beforeAutospacing="0" w:after="0" w:afterAutospacing="0" w:line="560" w:lineRule="exact"/>
        <w:ind w:firstLine="640" w:firstLineChars="200"/>
        <w:jc w:val="both"/>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pPr>
      <w:r>
        <w:rPr>
          <w:rFonts w:hint="eastAsia" w:ascii="方正仿宋_GB2312" w:hAnsi="方正仿宋_GB2312" w:eastAsia="方正仿宋_GB2312" w:cs="方正仿宋_GB2312"/>
          <w:color w:val="000000" w:themeColor="text1"/>
          <w:kern w:val="2"/>
          <w:sz w:val="32"/>
          <w:szCs w:val="32"/>
          <w14:textFill>
            <w14:solidFill>
              <w14:schemeClr w14:val="tx1"/>
            </w14:solidFill>
          </w14:textFill>
        </w:rPr>
        <w:t>（2）本届比赛开通“院长直推绿色通道”，特别优秀的项目可由学院院长直接推荐，不占用学院名额，择优推荐项目不超过2个（含2个）。</w:t>
      </w:r>
    </w:p>
    <w:p w14:paraId="6E8333D7">
      <w:pPr>
        <w:spacing w:line="560" w:lineRule="exact"/>
        <w:ind w:firstLine="643"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（二）校赛作品申报</w:t>
      </w:r>
      <w:r>
        <w:rPr>
          <w:rFonts w:hint="eastAsia" w:ascii="方正仿宋_GB2312" w:hAnsi="方正仿宋_GB2312" w:eastAsia="方正仿宋_GB2312" w:cs="方正仿宋_GB2312"/>
          <w:color w:val="000000" w:themeColor="text1"/>
          <w:sz w:val="32"/>
          <w:szCs w:val="32"/>
          <w14:textFill>
            <w14:solidFill>
              <w14:schemeClr w14:val="tx1"/>
            </w14:solidFill>
          </w14:textFill>
        </w:rPr>
        <w:t>（4月上旬）</w:t>
      </w:r>
    </w:p>
    <w:p w14:paraId="13E8E61C">
      <w:pPr>
        <w:spacing w:line="560" w:lineRule="exact"/>
        <w:ind w:firstLine="640" w:firstLineChars="200"/>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竞赛评审分为作品文本评审、公开答辩</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二</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个环节，评审具体时间安排如下：</w:t>
      </w:r>
    </w:p>
    <w:p w14:paraId="2B95A510">
      <w:pPr>
        <w:spacing w:line="560" w:lineRule="exact"/>
        <w:ind w:firstLine="643"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1.文本初审环节</w:t>
      </w:r>
    </w:p>
    <w:p w14:paraId="0147FF2C">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时间：3月28日</w:t>
      </w:r>
    </w:p>
    <w:p w14:paraId="4F3D9196">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形式：文本初审环节采取文本盲评形式进行，主要评审竞赛</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项目文本论证、作品支撑材料、维普软件查重结果报告（查重率低于30%）等内容。</w:t>
      </w:r>
      <w:r>
        <w:rPr>
          <w:rFonts w:hint="eastAsia" w:ascii="方正仿宋_GB2312" w:hAnsi="方正仿宋_GB2312" w:eastAsia="方正仿宋_GB2312" w:cs="方正仿宋_GB2312"/>
          <w:color w:val="000000" w:themeColor="text1"/>
          <w:sz w:val="32"/>
          <w:szCs w:val="32"/>
          <w14:textFill>
            <w14:solidFill>
              <w14:schemeClr w14:val="tx1"/>
            </w14:solidFill>
          </w14:textFill>
        </w:rPr>
        <w:t>选取一定数量的优秀作品晋级复赛。</w:t>
      </w:r>
    </w:p>
    <w:p w14:paraId="775A32D4">
      <w:pPr>
        <w:spacing w:line="560" w:lineRule="exact"/>
        <w:ind w:firstLine="640" w:firstLineChars="200"/>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作品上交方式</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以学院</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部门</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为单位将参赛作品汇总表一份</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见附件</w:t>
      </w:r>
      <w:r>
        <w:rPr>
          <w:rFonts w:hint="eastAsia" w:ascii="方正仿宋_GB2312" w:hAnsi="方正仿宋_GB2312" w:eastAsia="方正仿宋_GB2312" w:cs="方正仿宋_GB2312"/>
          <w:color w:val="000000" w:themeColor="text1"/>
          <w:sz w:val="32"/>
          <w:szCs w:val="32"/>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、申报书和作品各</w:t>
      </w:r>
      <w:r>
        <w:rPr>
          <w:rFonts w:hint="eastAsia" w:ascii="方正仿宋_GB2312" w:hAnsi="方正仿宋_GB2312" w:eastAsia="方正仿宋_GB2312" w:cs="方正仿宋_GB2312"/>
          <w:color w:val="000000" w:themeColor="text1"/>
          <w:sz w:val="32"/>
          <w:szCs w:val="32"/>
          <w14:textFill>
            <w14:solidFill>
              <w14:schemeClr w14:val="tx1"/>
            </w14:solidFill>
          </w14:textFill>
        </w:rPr>
        <w:t>3</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份</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其中</w:t>
      </w:r>
      <w:r>
        <w:rPr>
          <w:rFonts w:hint="eastAsia" w:ascii="方正仿宋_GB2312" w:hAnsi="方正仿宋_GB2312" w:eastAsia="方正仿宋_GB2312" w:cs="方正仿宋_GB2312"/>
          <w:color w:val="000000" w:themeColor="text1"/>
          <w:sz w:val="32"/>
          <w:szCs w:val="32"/>
          <w14:textFill>
            <w14:solidFill>
              <w14:schemeClr w14:val="tx1"/>
            </w14:solidFill>
          </w14:textFill>
        </w:rPr>
        <w:t>2</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份为盲评材料</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需省去单位名称、指导老师名称和参赛人员名称及其他透露个人或单位的信息</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、承诺书等相关纸质材料于</w:t>
      </w:r>
      <w:r>
        <w:rPr>
          <w:rFonts w:hint="eastAsia" w:ascii="方正仿宋_GB2312" w:hAnsi="方正仿宋_GB2312" w:eastAsia="方正仿宋_GB2312" w:cs="方正仿宋_GB2312"/>
          <w:color w:val="000000" w:themeColor="text1"/>
          <w:sz w:val="32"/>
          <w:szCs w:val="32"/>
          <w14:textFill>
            <w14:solidFill>
              <w14:schemeClr w14:val="tx1"/>
            </w14:solidFill>
          </w14:textFill>
        </w:rPr>
        <w:t>3</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14:textFill>
            <w14:solidFill>
              <w14:schemeClr w14:val="tx1"/>
            </w14:solidFill>
          </w14:textFill>
        </w:rPr>
        <w:t>25</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日前交至校团委</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（求实楼208</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办公室</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电子文档</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汇总表</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word</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版、申报书</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word</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版、作品完整版和盲评版各一份</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word</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或</w:t>
      </w:r>
      <w:r>
        <w:rPr>
          <w:rFonts w:hint="eastAsia" w:ascii="方正仿宋_GB2312" w:hAnsi="方正仿宋_GB2312" w:eastAsia="方正仿宋_GB2312" w:cs="方正仿宋_GB2312"/>
          <w:color w:val="000000" w:themeColor="text1"/>
          <w:sz w:val="32"/>
          <w:szCs w:val="32"/>
          <w14:textFill>
            <w14:solidFill>
              <w14:schemeClr w14:val="tx1"/>
            </w14:solidFill>
          </w14:textFill>
        </w:rPr>
        <w:t>pdf</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版、承诺书盖</w:t>
      </w:r>
      <w:r>
        <w:rPr>
          <w:rFonts w:hint="eastAsia" w:ascii="方正仿宋_GB2312" w:hAnsi="方正仿宋_GB2312" w:eastAsia="方正仿宋_GB2312" w:cs="方正仿宋_GB2312"/>
          <w:color w:val="000000" w:themeColor="text1"/>
          <w:sz w:val="32"/>
          <w:szCs w:val="32"/>
          <w14:textFill>
            <w14:solidFill>
              <w14:schemeClr w14:val="tx1"/>
            </w14:solidFill>
          </w14:textFill>
        </w:rPr>
        <w:t>pdf</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版</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发送至</w:t>
      </w:r>
      <w:r>
        <w:rPr>
          <w:rFonts w:hint="eastAsia" w:ascii="方正仿宋_GB2312" w:hAnsi="方正仿宋_GB2312" w:eastAsia="方正仿宋_GB2312" w:cs="方正仿宋_GB2312"/>
          <w:color w:val="000000" w:themeColor="text1"/>
          <w:sz w:val="32"/>
          <w:szCs w:val="32"/>
          <w14:textFill>
            <w14:solidFill>
              <w14:schemeClr w14:val="tx1"/>
            </w14:solidFill>
          </w14:textFill>
        </w:rPr>
        <w:t>178688456@qq.com</w:t>
      </w:r>
      <w:r>
        <w:rPr>
          <w:rFonts w:hint="eastAsia" w:ascii="方正仿宋_GB2312" w:hAnsi="方正仿宋_GB2312" w:eastAsia="方正仿宋_GB2312" w:cs="方正仿宋_GB2312"/>
          <w:color w:val="000000" w:themeColor="text1"/>
          <w:sz w:val="32"/>
          <w:szCs w:val="32"/>
          <w:lang w:val="zh-CN"/>
          <w14:textFill>
            <w14:solidFill>
              <w14:schemeClr w14:val="tx1"/>
            </w14:solidFill>
          </w14:textFill>
        </w:rPr>
        <w:t>。申报书和作品要求分开装订。</w:t>
      </w:r>
    </w:p>
    <w:p w14:paraId="04FA3494">
      <w:pPr>
        <w:spacing w:line="560" w:lineRule="exact"/>
        <w:ind w:firstLine="643" w:firstLineChars="200"/>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2.公开答辩环节</w:t>
      </w:r>
    </w:p>
    <w:p w14:paraId="7FCA4638">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时间：4月14日—15日（暂定）</w:t>
      </w:r>
    </w:p>
    <w:p w14:paraId="6E0E9A04">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地点：大学生创新创业基地</w:t>
      </w:r>
    </w:p>
    <w:p w14:paraId="42C31B05">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形式：</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组织有关专家成立评审小组，选手按照“</w:t>
      </w:r>
      <w:r>
        <w:rPr>
          <w:rFonts w:hint="eastAsia" w:ascii="方正仿宋_GB2312" w:hAnsi="方正仿宋_GB2312" w:eastAsia="方正仿宋_GB2312" w:cs="方正仿宋_GB2312"/>
          <w:color w:val="000000" w:themeColor="text1"/>
          <w:sz w:val="32"/>
          <w:szCs w:val="32"/>
          <w14:textFill>
            <w14:solidFill>
              <w14:schemeClr w14:val="tx1"/>
            </w14:solidFill>
          </w14:textFill>
        </w:rPr>
        <w:t>5</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分钟</w:t>
      </w:r>
      <w:r>
        <w:rPr>
          <w:rFonts w:hint="eastAsia" w:ascii="方正仿宋_GB2312" w:hAnsi="方正仿宋_GB2312" w:eastAsia="方正仿宋_GB2312" w:cs="方正仿宋_GB2312"/>
          <w:color w:val="000000" w:themeColor="text1"/>
          <w:sz w:val="32"/>
          <w:szCs w:val="32"/>
          <w14:textFill>
            <w14:solidFill>
              <w14:schemeClr w14:val="tx1"/>
            </w14:solidFill>
          </w14:textFill>
        </w:rPr>
        <w:t>PPT</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汇报+</w:t>
      </w:r>
      <w:r>
        <w:rPr>
          <w:rFonts w:hint="eastAsia" w:ascii="方正仿宋_GB2312" w:hAnsi="方正仿宋_GB2312" w:eastAsia="方正仿宋_GB2312" w:cs="方正仿宋_GB2312"/>
          <w:color w:val="000000" w:themeColor="text1"/>
          <w:sz w:val="32"/>
          <w:szCs w:val="32"/>
          <w14:textFill>
            <w14:solidFill>
              <w14:schemeClr w14:val="tx1"/>
            </w14:solidFill>
          </w14:textFill>
        </w:rPr>
        <w:t>6</w:t>
      </w:r>
      <w:r>
        <w:rPr>
          <w:rFonts w:hint="eastAsia" w:ascii="方正仿宋_GB2312" w:hAnsi="方正仿宋_GB2312" w:eastAsia="方正仿宋_GB2312" w:cs="方正仿宋_GB2312"/>
          <w:color w:val="000000" w:themeColor="text1"/>
          <w:kern w:val="0"/>
          <w:sz w:val="32"/>
          <w:szCs w:val="32"/>
          <w14:textFill>
            <w14:solidFill>
              <w14:schemeClr w14:val="tx1"/>
            </w14:solidFill>
          </w14:textFill>
        </w:rPr>
        <w:t>分钟答辩及点评”的形式现场答辩，依得分排名作为最终成绩予以评奖，评选出优秀项目。</w:t>
      </w:r>
    </w:p>
    <w:p w14:paraId="1A5B5300">
      <w:pPr>
        <w:spacing w:line="560" w:lineRule="exact"/>
        <w:ind w:firstLine="643"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（三）省赛报备</w:t>
      </w:r>
      <w:r>
        <w:rPr>
          <w:rFonts w:hint="eastAsia" w:ascii="方正仿宋_GB2312" w:hAnsi="方正仿宋_GB2312" w:eastAsia="方正仿宋_GB2312" w:cs="方正仿宋_GB2312"/>
          <w:color w:val="000000" w:themeColor="text1"/>
          <w:sz w:val="32"/>
          <w:szCs w:val="32"/>
          <w14:textFill>
            <w14:solidFill>
              <w14:schemeClr w14:val="tx1"/>
            </w14:solidFill>
          </w14:textFill>
        </w:rPr>
        <w:t>（5月3日前）</w:t>
      </w:r>
    </w:p>
    <w:p w14:paraId="60E43F68">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根据校赛评审结果，根据省赛要求选择若干作品进入“挑战杯”省赛优化，并报备参加省赛。</w:t>
      </w:r>
    </w:p>
    <w:p w14:paraId="213A5E78">
      <w:pPr>
        <w:autoSpaceDE w:val="0"/>
        <w:autoSpaceDN w:val="0"/>
        <w:adjustRightInd w:val="0"/>
        <w:snapToGrid w:val="0"/>
        <w:spacing w:beforeLines="50" w:afterLines="50" w:line="560" w:lineRule="exact"/>
        <w:ind w:firstLine="643" w:firstLineChars="200"/>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四、奖项设置</w:t>
      </w:r>
    </w:p>
    <w:p w14:paraId="4CFCECB2">
      <w:pPr>
        <w:spacing w:line="560" w:lineRule="exact"/>
        <w:ind w:firstLine="640"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比赛按照三个类别（自然科学类学术论文、哲学社会科学类社会调查报告、科技发明制作分设一等奖一名、二等奖两名、三等奖三名和优秀指导老师奖。（注：优秀获奖作品按照国赛、省赛文件要求，参考评委专家的推荐意见参加省赛）</w:t>
      </w:r>
    </w:p>
    <w:p w14:paraId="05093FC0">
      <w:pPr>
        <w:autoSpaceDE w:val="0"/>
        <w:autoSpaceDN w:val="0"/>
        <w:adjustRightInd w:val="0"/>
        <w:snapToGrid w:val="0"/>
        <w:spacing w:beforeLines="50" w:afterLines="50" w:line="560" w:lineRule="exact"/>
        <w:ind w:firstLine="643" w:firstLineChars="200"/>
        <w:rPr>
          <w:rFonts w:hint="eastAsia" w:ascii="黑体" w:hAnsi="黑体" w:eastAsia="黑体" w:cs="黑体"/>
          <w:b/>
          <w:bCs/>
          <w:color w:val="000000" w:themeColor="text1"/>
          <w:kern w:val="0"/>
          <w:sz w:val="32"/>
          <w:szCs w:val="32"/>
          <w14:textFill>
            <w14:solidFill>
              <w14:schemeClr w14:val="tx1"/>
            </w14:solidFill>
          </w14:textFill>
        </w:rPr>
      </w:pPr>
      <w:r>
        <w:rPr>
          <w:rFonts w:hint="eastAsia" w:ascii="黑体" w:hAnsi="黑体" w:eastAsia="黑体" w:cs="黑体"/>
          <w:b/>
          <w:bCs/>
          <w:color w:val="000000" w:themeColor="text1"/>
          <w:kern w:val="0"/>
          <w:sz w:val="32"/>
          <w:szCs w:val="32"/>
          <w14:textFill>
            <w14:solidFill>
              <w14:schemeClr w14:val="tx1"/>
            </w14:solidFill>
          </w14:textFill>
        </w:rPr>
        <w:t>五、工作要求</w:t>
      </w:r>
    </w:p>
    <w:p w14:paraId="6CDE5FAF">
      <w:pPr>
        <w:spacing w:line="560" w:lineRule="exact"/>
        <w:ind w:firstLine="643"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（一）高度重视，加强领导。</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“挑战杯”竞赛是为适应全面推进素质教育和深化教育改革要求开展的一项重要活动，是培养学生创新精神、提高学生科研能力的重要手段和促进良好校风学风建设、营造浓厚校园学术氛围的有效载体，</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各</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学院（部门）要高度重视该项活动，积极做好宣传发动和参赛的各项组织工作。</w:t>
      </w:r>
    </w:p>
    <w:p w14:paraId="68DD4C31">
      <w:pPr>
        <w:spacing w:line="560" w:lineRule="exact"/>
        <w:ind w:firstLine="643"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（二）广泛宣传，扩大影响。</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各学院（部门）要对竞赛活动的宗旨和参赛内容进行积极的宣传，扩大竞赛活动的影响，使竞赛活动深入人心；要坚持竞赛活动的导向性、示范性和群众性原则，加强对学生进行科学知识、科学方法、科学思想、科学精神的教育，全面提高学生的创新能力。</w:t>
      </w:r>
    </w:p>
    <w:p w14:paraId="604B4BEB">
      <w:pPr>
        <w:spacing w:line="560" w:lineRule="exact"/>
        <w:ind w:firstLine="643" w:firstLineChars="200"/>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（三）精心组织，夯实基础。</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各学院（部门）要充分调动学生的参与积极性，积极争取专家学者的支持和指导，充分整合资源，形成合力；要主动向参赛学生提供必要的物质和技术支持；要严格按照竞赛要求进行资格及形式审查，认真组织好本单位申报作品的选拔和评审工作，并以此为契机进一步夯实竞赛活动的群众基础，营造浓厚的校园科研学术氛围。</w:t>
      </w:r>
    </w:p>
    <w:p w14:paraId="2A576188">
      <w:pPr>
        <w:autoSpaceDE w:val="0"/>
        <w:autoSpaceDN w:val="0"/>
        <w:adjustRightInd w:val="0"/>
        <w:snapToGrid w:val="0"/>
        <w:spacing w:line="240" w:lineRule="exact"/>
        <w:ind w:firstLine="643" w:firstLineChars="200"/>
        <w:rPr>
          <w:rFonts w:hint="eastAsia" w:ascii="方正仿宋_GB2312" w:hAnsi="方正仿宋_GB2312" w:eastAsia="方正仿宋_GB2312" w:cs="方正仿宋_GB2312"/>
          <w:b/>
          <w:bCs/>
          <w:color w:val="000000"/>
          <w:kern w:val="0"/>
          <w:sz w:val="32"/>
          <w:szCs w:val="32"/>
        </w:rPr>
      </w:pPr>
    </w:p>
    <w:p w14:paraId="6472A799">
      <w:pPr>
        <w:autoSpaceDE w:val="0"/>
        <w:autoSpaceDN w:val="0"/>
        <w:adjustRightInd w:val="0"/>
        <w:snapToGrid w:val="0"/>
        <w:spacing w:line="240" w:lineRule="exact"/>
        <w:ind w:firstLine="643" w:firstLineChars="200"/>
        <w:rPr>
          <w:rFonts w:hint="eastAsia" w:ascii="方正仿宋_GB2312" w:hAnsi="方正仿宋_GB2312" w:eastAsia="方正仿宋_GB2312" w:cs="方正仿宋_GB2312"/>
          <w:b/>
          <w:bCs/>
          <w:color w:val="000000"/>
          <w:kern w:val="0"/>
          <w:sz w:val="32"/>
          <w:szCs w:val="32"/>
        </w:rPr>
      </w:pPr>
    </w:p>
    <w:p w14:paraId="1712F422">
      <w:pPr>
        <w:autoSpaceDE w:val="0"/>
        <w:autoSpaceDN w:val="0"/>
        <w:adjustRightInd w:val="0"/>
        <w:snapToGrid w:val="0"/>
        <w:spacing w:line="240" w:lineRule="exact"/>
        <w:ind w:firstLine="643" w:firstLineChars="200"/>
        <w:rPr>
          <w:rFonts w:hint="eastAsia" w:ascii="方正仿宋_GB2312" w:hAnsi="方正仿宋_GB2312" w:eastAsia="方正仿宋_GB2312" w:cs="方正仿宋_GB2312"/>
          <w:b/>
          <w:bCs/>
          <w:color w:val="000000"/>
          <w:kern w:val="0"/>
          <w:sz w:val="32"/>
          <w:szCs w:val="32"/>
        </w:rPr>
      </w:pPr>
    </w:p>
    <w:p w14:paraId="53B32342">
      <w:pPr>
        <w:autoSpaceDE w:val="0"/>
        <w:autoSpaceDN w:val="0"/>
        <w:adjustRightInd w:val="0"/>
        <w:snapToGrid w:val="0"/>
        <w:spacing w:line="240" w:lineRule="exact"/>
        <w:ind w:firstLine="643" w:firstLineChars="200"/>
        <w:rPr>
          <w:rFonts w:hint="eastAsia" w:ascii="方正仿宋_GB2312" w:hAnsi="方正仿宋_GB2312" w:eastAsia="方正仿宋_GB2312" w:cs="方正仿宋_GB2312"/>
          <w:b/>
          <w:bCs/>
          <w:color w:val="000000"/>
          <w:kern w:val="0"/>
          <w:sz w:val="32"/>
          <w:szCs w:val="32"/>
        </w:rPr>
      </w:pPr>
    </w:p>
    <w:p w14:paraId="7A1D35BA">
      <w:pPr>
        <w:autoSpaceDE w:val="0"/>
        <w:autoSpaceDN w:val="0"/>
        <w:adjustRightInd w:val="0"/>
        <w:snapToGrid w:val="0"/>
        <w:spacing w:line="240" w:lineRule="exact"/>
        <w:ind w:firstLine="643" w:firstLineChars="200"/>
        <w:rPr>
          <w:rFonts w:hint="eastAsia" w:ascii="方正仿宋_GB2312" w:hAnsi="方正仿宋_GB2312" w:eastAsia="方正仿宋_GB2312" w:cs="方正仿宋_GB2312"/>
          <w:b/>
          <w:bCs/>
          <w:color w:val="000000"/>
          <w:kern w:val="0"/>
          <w:sz w:val="32"/>
          <w:szCs w:val="32"/>
        </w:rPr>
      </w:pPr>
    </w:p>
    <w:p w14:paraId="670B56A1">
      <w:pPr>
        <w:autoSpaceDE w:val="0"/>
        <w:autoSpaceDN w:val="0"/>
        <w:adjustRightInd w:val="0"/>
        <w:snapToGrid w:val="0"/>
        <w:spacing w:line="240" w:lineRule="exact"/>
        <w:ind w:firstLine="643" w:firstLineChars="200"/>
        <w:rPr>
          <w:rFonts w:hint="eastAsia" w:ascii="方正仿宋_GB2312" w:hAnsi="方正仿宋_GB2312" w:eastAsia="方正仿宋_GB2312" w:cs="方正仿宋_GB2312"/>
          <w:b/>
          <w:bCs/>
          <w:color w:val="000000"/>
          <w:kern w:val="0"/>
          <w:sz w:val="32"/>
          <w:szCs w:val="32"/>
        </w:rPr>
      </w:pPr>
    </w:p>
    <w:p w14:paraId="17B39DD3">
      <w:pPr>
        <w:autoSpaceDE w:val="0"/>
        <w:autoSpaceDN w:val="0"/>
        <w:adjustRightInd w:val="0"/>
        <w:snapToGrid w:val="0"/>
        <w:spacing w:line="520" w:lineRule="exact"/>
        <w:rPr>
          <w:rFonts w:hint="eastAsia" w:ascii="方正仿宋_GB2312" w:hAnsi="方正仿宋_GB2312" w:eastAsia="方正仿宋_GB2312" w:cs="方正仿宋_GB2312"/>
          <w:color w:val="000000"/>
          <w:kern w:val="0"/>
          <w:sz w:val="32"/>
          <w:szCs w:val="32"/>
        </w:rPr>
      </w:pPr>
      <w:r>
        <w:rPr>
          <w:rFonts w:hint="eastAsia" w:ascii="方正仿宋_GB2312" w:hAnsi="方正仿宋_GB2312" w:eastAsia="方正仿宋_GB2312" w:cs="方正仿宋_GB2312"/>
          <w:b/>
          <w:bCs/>
          <w:color w:val="000000"/>
          <w:kern w:val="0"/>
          <w:sz w:val="32"/>
          <w:szCs w:val="32"/>
        </w:rPr>
        <w:t>附件：</w:t>
      </w:r>
    </w:p>
    <w:p w14:paraId="398E9DD5">
      <w:pPr>
        <w:spacing w:line="460" w:lineRule="exact"/>
        <w:ind w:firstLine="544" w:firstLineChars="200"/>
        <w:rPr>
          <w:rFonts w:hint="eastAsia" w:ascii="方正仿宋_GB2312" w:hAnsi="方正仿宋_GB2312" w:eastAsia="方正仿宋_GB2312" w:cs="方正仿宋_GB2312"/>
          <w:color w:val="000000"/>
          <w:w w:val="85"/>
          <w:sz w:val="32"/>
          <w:szCs w:val="32"/>
        </w:rPr>
      </w:pPr>
      <w:r>
        <w:rPr>
          <w:rFonts w:hint="eastAsia" w:ascii="方正仿宋_GB2312" w:hAnsi="方正仿宋_GB2312" w:eastAsia="方正仿宋_GB2312" w:cs="方正仿宋_GB2312"/>
          <w:color w:val="000000"/>
          <w:w w:val="85"/>
          <w:sz w:val="32"/>
          <w:szCs w:val="32"/>
        </w:rPr>
        <w:t>1.《2025年“挑战杯”湖南省大学生课外学术科技作品竞赛湖南理工职业技术学院校内选拔赛作品申报书》</w:t>
      </w:r>
    </w:p>
    <w:p w14:paraId="304E18D9">
      <w:pPr>
        <w:spacing w:line="460" w:lineRule="exact"/>
        <w:ind w:firstLine="544" w:firstLineChars="200"/>
        <w:rPr>
          <w:rFonts w:hint="eastAsia" w:ascii="方正仿宋_GB2312" w:hAnsi="方正仿宋_GB2312" w:eastAsia="方正仿宋_GB2312" w:cs="方正仿宋_GB2312"/>
          <w:color w:val="000000"/>
          <w:w w:val="85"/>
          <w:sz w:val="32"/>
          <w:szCs w:val="32"/>
        </w:rPr>
      </w:pPr>
      <w:r>
        <w:rPr>
          <w:rFonts w:hint="eastAsia" w:ascii="方正仿宋_GB2312" w:hAnsi="方正仿宋_GB2312" w:eastAsia="方正仿宋_GB2312" w:cs="方正仿宋_GB2312"/>
          <w:color w:val="000000"/>
          <w:w w:val="85"/>
          <w:sz w:val="32"/>
          <w:szCs w:val="32"/>
        </w:rPr>
        <w:t>2.《2025年“挑战杯”湖南省大学生课外学术科技作品竞赛湖南理工职业技术学院校内选拔赛作品汇总表》</w:t>
      </w:r>
    </w:p>
    <w:p w14:paraId="2D130A0B">
      <w:pPr>
        <w:spacing w:line="460" w:lineRule="exact"/>
        <w:ind w:firstLine="544" w:firstLineChars="200"/>
        <w:rPr>
          <w:rFonts w:hint="eastAsia" w:ascii="方正仿宋_GB2312" w:hAnsi="方正仿宋_GB2312" w:eastAsia="方正仿宋_GB2312" w:cs="方正仿宋_GB2312"/>
          <w:color w:val="000000"/>
          <w:w w:val="85"/>
          <w:sz w:val="32"/>
          <w:szCs w:val="32"/>
        </w:rPr>
      </w:pPr>
      <w:r>
        <w:rPr>
          <w:rFonts w:hint="eastAsia" w:ascii="方正仿宋_GB2312" w:hAnsi="方正仿宋_GB2312" w:eastAsia="方正仿宋_GB2312" w:cs="方正仿宋_GB2312"/>
          <w:color w:val="000000"/>
          <w:w w:val="85"/>
          <w:sz w:val="32"/>
          <w:szCs w:val="32"/>
        </w:rPr>
        <w:t>3.《2025年“挑战杯”湖南省大学生课外学术科技作品竞赛湖南理工职业技术学院校内选拔赛作品申报书（盲评）》</w:t>
      </w:r>
    </w:p>
    <w:p w14:paraId="3154703C">
      <w:pPr>
        <w:spacing w:line="460" w:lineRule="exact"/>
        <w:ind w:firstLine="544" w:firstLineChars="200"/>
        <w:rPr>
          <w:rFonts w:hint="eastAsia" w:ascii="方正仿宋_GB2312" w:hAnsi="方正仿宋_GB2312" w:eastAsia="方正仿宋_GB2312" w:cs="方正仿宋_GB2312"/>
          <w:color w:val="000000"/>
          <w:w w:val="85"/>
          <w:sz w:val="32"/>
          <w:szCs w:val="32"/>
        </w:rPr>
      </w:pPr>
      <w:r>
        <w:rPr>
          <w:rFonts w:hint="eastAsia" w:ascii="方正仿宋_GB2312" w:hAnsi="方正仿宋_GB2312" w:eastAsia="方正仿宋_GB2312" w:cs="方正仿宋_GB2312"/>
          <w:color w:val="000000"/>
          <w:w w:val="85"/>
          <w:sz w:val="32"/>
          <w:szCs w:val="32"/>
        </w:rPr>
        <w:t>4.《2025年“挑战杯”湖南省大学生课外学术科技作品竞赛湖南理工职业技术学院校内选拔赛作品承诺书（个人）》</w:t>
      </w:r>
    </w:p>
    <w:p w14:paraId="2ABD9465">
      <w:pPr>
        <w:spacing w:line="460" w:lineRule="exact"/>
        <w:ind w:firstLine="544" w:firstLineChars="200"/>
        <w:rPr>
          <w:rFonts w:hint="eastAsia" w:ascii="方正仿宋_GB2312" w:hAnsi="方正仿宋_GB2312" w:eastAsia="方正仿宋_GB2312" w:cs="方正仿宋_GB2312"/>
          <w:color w:val="000000"/>
          <w:w w:val="85"/>
          <w:sz w:val="32"/>
          <w:szCs w:val="32"/>
        </w:rPr>
      </w:pPr>
      <w:r>
        <w:rPr>
          <w:rFonts w:hint="eastAsia" w:ascii="方正仿宋_GB2312" w:hAnsi="方正仿宋_GB2312" w:eastAsia="方正仿宋_GB2312" w:cs="方正仿宋_GB2312"/>
          <w:color w:val="000000"/>
          <w:w w:val="85"/>
          <w:sz w:val="32"/>
          <w:szCs w:val="32"/>
        </w:rPr>
        <w:t>5.第十五届“挑战杯”湖南省大学生课外学术科技作品竞赛章程和评审规则</w:t>
      </w:r>
    </w:p>
    <w:p w14:paraId="47410D16">
      <w:pPr>
        <w:spacing w:line="460" w:lineRule="exact"/>
        <w:rPr>
          <w:rFonts w:hint="eastAsia" w:ascii="方正仿宋_GB2312" w:hAnsi="方正仿宋_GB2312" w:eastAsia="方正仿宋_GB2312" w:cs="方正仿宋_GB2312"/>
          <w:color w:val="000000"/>
          <w:w w:val="85"/>
          <w:sz w:val="32"/>
          <w:szCs w:val="32"/>
        </w:rPr>
      </w:pPr>
    </w:p>
    <w:p w14:paraId="7B3CA37D">
      <w:pPr>
        <w:spacing w:line="460" w:lineRule="exact"/>
        <w:ind w:firstLine="544" w:firstLineChars="200"/>
        <w:rPr>
          <w:rFonts w:hint="eastAsia" w:ascii="方正仿宋_GB2312" w:hAnsi="方正仿宋_GB2312" w:eastAsia="方正仿宋_GB2312" w:cs="方正仿宋_GB2312"/>
          <w:color w:val="000000"/>
          <w:w w:val="85"/>
          <w:sz w:val="32"/>
          <w:szCs w:val="32"/>
        </w:rPr>
      </w:pPr>
    </w:p>
    <w:p w14:paraId="18BBF8A7">
      <w:pPr>
        <w:adjustRightInd w:val="0"/>
        <w:snapToGrid w:val="0"/>
        <w:spacing w:line="480" w:lineRule="exact"/>
        <w:ind w:firstLine="5299" w:firstLineChars="1656"/>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sz w:val="32"/>
          <w:szCs w:val="32"/>
        </w:rPr>
        <w:t>湖南理工职业技术学院</w:t>
      </w:r>
    </w:p>
    <w:p w14:paraId="3B2B020A">
      <w:pPr>
        <w:spacing w:line="460" w:lineRule="exact"/>
        <w:ind w:firstLine="544" w:firstLineChars="200"/>
        <w:jc w:val="center"/>
        <w:rPr>
          <w:rFonts w:hint="eastAsia" w:ascii="方正仿宋_GB2312" w:hAnsi="方正仿宋_GB2312" w:eastAsia="方正仿宋_GB2312" w:cs="方正仿宋_GB2312"/>
          <w:color w:val="000000"/>
          <w:w w:val="85"/>
          <w:sz w:val="32"/>
          <w:szCs w:val="32"/>
        </w:rPr>
      </w:pPr>
      <w:r>
        <w:rPr>
          <w:rFonts w:hint="eastAsia" w:ascii="方正仿宋_GB2312" w:hAnsi="方正仿宋_GB2312" w:eastAsia="方正仿宋_GB2312" w:cs="方正仿宋_GB2312"/>
          <w:color w:val="000000"/>
          <w:w w:val="85"/>
          <w:sz w:val="32"/>
          <w:szCs w:val="32"/>
          <w:lang w:val="en-US" w:eastAsia="zh-CN"/>
        </w:rPr>
        <w:t xml:space="preserve">                                 </w:t>
      </w:r>
      <w:r>
        <w:rPr>
          <w:rFonts w:hint="eastAsia" w:ascii="方正仿宋_GB2312" w:hAnsi="方正仿宋_GB2312" w:eastAsia="方正仿宋_GB2312" w:cs="方正仿宋_GB2312"/>
          <w:color w:val="000000"/>
          <w:w w:val="85"/>
          <w:sz w:val="32"/>
          <w:szCs w:val="32"/>
        </w:rPr>
        <w:t>2025年3月3日</w:t>
      </w:r>
    </w:p>
    <w:p w14:paraId="4F6A0CE3">
      <w:pPr>
        <w:pStyle w:val="4"/>
        <w:spacing w:line="520" w:lineRule="exact"/>
        <w:jc w:val="both"/>
        <w:rPr>
          <w:rFonts w:hint="eastAsia" w:ascii="方正仿宋_GB2312" w:hAnsi="方正仿宋_GB2312" w:eastAsia="方正仿宋_GB2312" w:cs="方正仿宋_GB2312"/>
          <w:color w:val="000000"/>
          <w:sz w:val="32"/>
          <w:szCs w:val="32"/>
        </w:rPr>
      </w:pPr>
    </w:p>
    <w:p w14:paraId="625DE822">
      <w:pPr>
        <w:pStyle w:val="4"/>
        <w:spacing w:line="520" w:lineRule="exact"/>
        <w:jc w:val="both"/>
        <w:rPr>
          <w:rFonts w:hint="eastAsia" w:ascii="方正仿宋_GB2312" w:hAnsi="方正仿宋_GB2312" w:eastAsia="方正仿宋_GB2312" w:cs="方正仿宋_GB2312"/>
          <w:color w:val="000000"/>
          <w:sz w:val="32"/>
          <w:szCs w:val="32"/>
        </w:rPr>
      </w:pPr>
    </w:p>
    <w:p w14:paraId="1754BF43">
      <w:pPr>
        <w:adjustRightInd w:val="0"/>
        <w:snapToGrid w:val="0"/>
        <w:spacing w:line="480" w:lineRule="exact"/>
        <w:ind w:firstLine="640" w:firstLineChars="200"/>
        <w:jc w:val="right"/>
        <w:rPr>
          <w:rFonts w:hint="eastAsia" w:ascii="方正仿宋_GB2312" w:hAnsi="方正仿宋_GB2312" w:eastAsia="方正仿宋_GB2312" w:cs="方正仿宋_GB2312"/>
          <w:color w:val="000000" w:themeColor="text1"/>
          <w:sz w:val="32"/>
          <w:szCs w:val="32"/>
          <w14:textFill>
            <w14:solidFill>
              <w14:schemeClr w14:val="tx1"/>
            </w14:solidFill>
          </w14:textFill>
        </w:rPr>
      </w:pPr>
    </w:p>
    <w:sectPr>
      <w:headerReference r:id="rId3" w:type="default"/>
      <w:footerReference r:id="rId4" w:type="default"/>
      <w:pgSz w:w="11906" w:h="16838"/>
      <w:pgMar w:top="2098" w:right="1531" w:bottom="1984" w:left="1531" w:header="850" w:footer="113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98E71">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D85140F">
                          <w:pPr>
                            <w:pStyle w:val="6"/>
                            <w:ind w:left="315" w:leftChars="150" w:right="315" w:rightChars="150"/>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w:t>
                          </w: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PAGE  \* MERGEFORMAT </w:instrText>
                          </w:r>
                          <w:r>
                            <w:rPr>
                              <w:rFonts w:hint="eastAsia" w:ascii="方正小标宋简体" w:hAnsi="方正小标宋简体" w:eastAsia="方正小标宋简体" w:cs="方正小标宋简体"/>
                              <w:sz w:val="24"/>
                              <w:szCs w:val="24"/>
                            </w:rPr>
                            <w:fldChar w:fldCharType="separate"/>
                          </w:r>
                          <w:r>
                            <w:rPr>
                              <w:rFonts w:ascii="方正小标宋简体" w:hAnsi="方正小标宋简体" w:eastAsia="方正小标宋简体" w:cs="方正小标宋简体"/>
                              <w:sz w:val="24"/>
                              <w:szCs w:val="24"/>
                            </w:rPr>
                            <w:t>1</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14:paraId="6D85140F">
                    <w:pPr>
                      <w:pStyle w:val="6"/>
                      <w:ind w:left="315" w:leftChars="150" w:right="315" w:rightChars="150"/>
                      <w:rPr>
                        <w:rFonts w:ascii="方正小标宋简体" w:hAnsi="方正小标宋简体" w:eastAsia="方正小标宋简体" w:cs="方正小标宋简体"/>
                        <w:sz w:val="24"/>
                        <w:szCs w:val="24"/>
                      </w:rPr>
                    </w:pPr>
                    <w:r>
                      <w:rPr>
                        <w:rFonts w:hint="eastAsia" w:ascii="方正小标宋简体" w:hAnsi="方正小标宋简体" w:eastAsia="方正小标宋简体" w:cs="方正小标宋简体"/>
                        <w:sz w:val="24"/>
                        <w:szCs w:val="24"/>
                      </w:rPr>
                      <w:t>—</w:t>
                    </w:r>
                    <w:r>
                      <w:rPr>
                        <w:rFonts w:hint="eastAsia" w:ascii="方正小标宋简体" w:hAnsi="方正小标宋简体" w:eastAsia="方正小标宋简体" w:cs="方正小标宋简体"/>
                        <w:sz w:val="24"/>
                        <w:szCs w:val="24"/>
                      </w:rPr>
                      <w:fldChar w:fldCharType="begin"/>
                    </w:r>
                    <w:r>
                      <w:rPr>
                        <w:rFonts w:hint="eastAsia" w:ascii="方正小标宋简体" w:hAnsi="方正小标宋简体" w:eastAsia="方正小标宋简体" w:cs="方正小标宋简体"/>
                        <w:sz w:val="24"/>
                        <w:szCs w:val="24"/>
                      </w:rPr>
                      <w:instrText xml:space="preserve"> PAGE  \* MERGEFORMAT </w:instrText>
                    </w:r>
                    <w:r>
                      <w:rPr>
                        <w:rFonts w:hint="eastAsia" w:ascii="方正小标宋简体" w:hAnsi="方正小标宋简体" w:eastAsia="方正小标宋简体" w:cs="方正小标宋简体"/>
                        <w:sz w:val="24"/>
                        <w:szCs w:val="24"/>
                      </w:rPr>
                      <w:fldChar w:fldCharType="separate"/>
                    </w:r>
                    <w:r>
                      <w:rPr>
                        <w:rFonts w:ascii="方正小标宋简体" w:hAnsi="方正小标宋简体" w:eastAsia="方正小标宋简体" w:cs="方正小标宋简体"/>
                        <w:sz w:val="24"/>
                        <w:szCs w:val="24"/>
                      </w:rPr>
                      <w:t>1</w:t>
                    </w:r>
                    <w:r>
                      <w:rPr>
                        <w:rFonts w:hint="eastAsia" w:ascii="方正小标宋简体" w:hAnsi="方正小标宋简体" w:eastAsia="方正小标宋简体" w:cs="方正小标宋简体"/>
                        <w:sz w:val="24"/>
                        <w:szCs w:val="24"/>
                      </w:rPr>
                      <w:fldChar w:fldCharType="end"/>
                    </w:r>
                    <w:r>
                      <w:rPr>
                        <w:rFonts w:hint="eastAsia" w:ascii="方正小标宋简体" w:hAnsi="方正小标宋简体" w:eastAsia="方正小标宋简体" w:cs="方正小标宋简体"/>
                        <w:sz w:val="24"/>
                        <w:szCs w:val="24"/>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6701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OGZjMWNlMTI0N2Y2ZjBlMDgzZGViMDhkMzdiZDEifQ=="/>
  </w:docVars>
  <w:rsids>
    <w:rsidRoot w:val="55497613"/>
    <w:rsid w:val="000A1A07"/>
    <w:rsid w:val="00171859"/>
    <w:rsid w:val="003716F3"/>
    <w:rsid w:val="003F327E"/>
    <w:rsid w:val="00444AED"/>
    <w:rsid w:val="00465745"/>
    <w:rsid w:val="0047323D"/>
    <w:rsid w:val="004B231F"/>
    <w:rsid w:val="004C000F"/>
    <w:rsid w:val="004C5854"/>
    <w:rsid w:val="004D5B46"/>
    <w:rsid w:val="00501585"/>
    <w:rsid w:val="00536B0E"/>
    <w:rsid w:val="00596184"/>
    <w:rsid w:val="005D5781"/>
    <w:rsid w:val="006C2961"/>
    <w:rsid w:val="007636BC"/>
    <w:rsid w:val="007A6327"/>
    <w:rsid w:val="007C0820"/>
    <w:rsid w:val="0089698D"/>
    <w:rsid w:val="00945788"/>
    <w:rsid w:val="00970EA1"/>
    <w:rsid w:val="00A37700"/>
    <w:rsid w:val="00B041D6"/>
    <w:rsid w:val="00B12F35"/>
    <w:rsid w:val="00C57155"/>
    <w:rsid w:val="00D628FF"/>
    <w:rsid w:val="00D73BD5"/>
    <w:rsid w:val="00DC7C99"/>
    <w:rsid w:val="00E11AA3"/>
    <w:rsid w:val="00E43136"/>
    <w:rsid w:val="00E50E72"/>
    <w:rsid w:val="00FA3371"/>
    <w:rsid w:val="00FB2015"/>
    <w:rsid w:val="013F73DE"/>
    <w:rsid w:val="016F4C47"/>
    <w:rsid w:val="019839AC"/>
    <w:rsid w:val="01D45AC6"/>
    <w:rsid w:val="02497E92"/>
    <w:rsid w:val="02A613C0"/>
    <w:rsid w:val="02ED577A"/>
    <w:rsid w:val="02EE64DC"/>
    <w:rsid w:val="0303180C"/>
    <w:rsid w:val="03585EE7"/>
    <w:rsid w:val="039558ED"/>
    <w:rsid w:val="04B81DA7"/>
    <w:rsid w:val="04D740A0"/>
    <w:rsid w:val="061F2A86"/>
    <w:rsid w:val="06257970"/>
    <w:rsid w:val="062959A9"/>
    <w:rsid w:val="06342237"/>
    <w:rsid w:val="06355B07"/>
    <w:rsid w:val="065A5603"/>
    <w:rsid w:val="071A65B6"/>
    <w:rsid w:val="076D4BFA"/>
    <w:rsid w:val="08052A7A"/>
    <w:rsid w:val="08154250"/>
    <w:rsid w:val="088C500F"/>
    <w:rsid w:val="093C47D0"/>
    <w:rsid w:val="097430E9"/>
    <w:rsid w:val="09986D7D"/>
    <w:rsid w:val="09C851E3"/>
    <w:rsid w:val="0A7315F2"/>
    <w:rsid w:val="0B713A2A"/>
    <w:rsid w:val="0C0B7609"/>
    <w:rsid w:val="0C1111F9"/>
    <w:rsid w:val="0D60057F"/>
    <w:rsid w:val="0D833C77"/>
    <w:rsid w:val="0DB43ACC"/>
    <w:rsid w:val="0E9F47DD"/>
    <w:rsid w:val="0EDF0968"/>
    <w:rsid w:val="0EE73A3F"/>
    <w:rsid w:val="0FB75ADD"/>
    <w:rsid w:val="0FED3390"/>
    <w:rsid w:val="10245E37"/>
    <w:rsid w:val="10D97754"/>
    <w:rsid w:val="10E478C7"/>
    <w:rsid w:val="10EC4CD3"/>
    <w:rsid w:val="11804A5D"/>
    <w:rsid w:val="11842A6A"/>
    <w:rsid w:val="11C41133"/>
    <w:rsid w:val="12BA53EE"/>
    <w:rsid w:val="13970726"/>
    <w:rsid w:val="13B448C6"/>
    <w:rsid w:val="141D03B4"/>
    <w:rsid w:val="14237BE5"/>
    <w:rsid w:val="14364EB4"/>
    <w:rsid w:val="14D317E3"/>
    <w:rsid w:val="14F74019"/>
    <w:rsid w:val="153A6087"/>
    <w:rsid w:val="15681628"/>
    <w:rsid w:val="1575732F"/>
    <w:rsid w:val="15A074FD"/>
    <w:rsid w:val="15D2167D"/>
    <w:rsid w:val="1710457F"/>
    <w:rsid w:val="17593315"/>
    <w:rsid w:val="178C71D8"/>
    <w:rsid w:val="18CF6480"/>
    <w:rsid w:val="193E2EFD"/>
    <w:rsid w:val="1A0273D0"/>
    <w:rsid w:val="1A0A7151"/>
    <w:rsid w:val="1A6F24C7"/>
    <w:rsid w:val="1A812517"/>
    <w:rsid w:val="1A855A97"/>
    <w:rsid w:val="1A8D6EC2"/>
    <w:rsid w:val="1AF37BE5"/>
    <w:rsid w:val="1B0A43E8"/>
    <w:rsid w:val="1B3C77DE"/>
    <w:rsid w:val="1B537575"/>
    <w:rsid w:val="1BA02AE0"/>
    <w:rsid w:val="1BD50066"/>
    <w:rsid w:val="1CC659C3"/>
    <w:rsid w:val="1CCE54C5"/>
    <w:rsid w:val="1CE20C70"/>
    <w:rsid w:val="1CE94C7E"/>
    <w:rsid w:val="1CF55E97"/>
    <w:rsid w:val="1D595A4A"/>
    <w:rsid w:val="1E33399B"/>
    <w:rsid w:val="1E696B3C"/>
    <w:rsid w:val="1E8411D7"/>
    <w:rsid w:val="1F8D23B7"/>
    <w:rsid w:val="1FBF3FC8"/>
    <w:rsid w:val="1FC54D53"/>
    <w:rsid w:val="1FF42436"/>
    <w:rsid w:val="201B06D7"/>
    <w:rsid w:val="2039796E"/>
    <w:rsid w:val="205638CE"/>
    <w:rsid w:val="208E5D79"/>
    <w:rsid w:val="20C932CD"/>
    <w:rsid w:val="20D66B76"/>
    <w:rsid w:val="21417A0D"/>
    <w:rsid w:val="21A13955"/>
    <w:rsid w:val="21ED35E0"/>
    <w:rsid w:val="221026C4"/>
    <w:rsid w:val="2230625F"/>
    <w:rsid w:val="224D3C5B"/>
    <w:rsid w:val="22891E41"/>
    <w:rsid w:val="22FD7853"/>
    <w:rsid w:val="231F4DAE"/>
    <w:rsid w:val="24376272"/>
    <w:rsid w:val="2539308C"/>
    <w:rsid w:val="255F52DD"/>
    <w:rsid w:val="25F20F42"/>
    <w:rsid w:val="2615738A"/>
    <w:rsid w:val="28902F18"/>
    <w:rsid w:val="289524F6"/>
    <w:rsid w:val="28A070A0"/>
    <w:rsid w:val="296F6419"/>
    <w:rsid w:val="29FA346D"/>
    <w:rsid w:val="2B6007B5"/>
    <w:rsid w:val="2B6568DD"/>
    <w:rsid w:val="2B907233"/>
    <w:rsid w:val="2C212F17"/>
    <w:rsid w:val="2C8D59A4"/>
    <w:rsid w:val="2CA20917"/>
    <w:rsid w:val="2CF27184"/>
    <w:rsid w:val="2D30186F"/>
    <w:rsid w:val="2E9B6172"/>
    <w:rsid w:val="2F457970"/>
    <w:rsid w:val="2F587873"/>
    <w:rsid w:val="2F7C5FA4"/>
    <w:rsid w:val="2FA122D6"/>
    <w:rsid w:val="2FE12A08"/>
    <w:rsid w:val="30203EB0"/>
    <w:rsid w:val="307A0518"/>
    <w:rsid w:val="313A01BA"/>
    <w:rsid w:val="314C1F45"/>
    <w:rsid w:val="318131F6"/>
    <w:rsid w:val="32523B47"/>
    <w:rsid w:val="330A6248"/>
    <w:rsid w:val="34873874"/>
    <w:rsid w:val="34DB48B8"/>
    <w:rsid w:val="355D57E1"/>
    <w:rsid w:val="361177F7"/>
    <w:rsid w:val="364465EE"/>
    <w:rsid w:val="378601B5"/>
    <w:rsid w:val="38787C50"/>
    <w:rsid w:val="39241B86"/>
    <w:rsid w:val="39D92970"/>
    <w:rsid w:val="3A317B94"/>
    <w:rsid w:val="3AE21327"/>
    <w:rsid w:val="3B4E14F1"/>
    <w:rsid w:val="3C3961C3"/>
    <w:rsid w:val="3CC22946"/>
    <w:rsid w:val="3D9A7321"/>
    <w:rsid w:val="3F2765AD"/>
    <w:rsid w:val="3F32553B"/>
    <w:rsid w:val="3F370D27"/>
    <w:rsid w:val="3F80388E"/>
    <w:rsid w:val="3FE77469"/>
    <w:rsid w:val="41174689"/>
    <w:rsid w:val="415F7C99"/>
    <w:rsid w:val="41DD28D2"/>
    <w:rsid w:val="41DE7805"/>
    <w:rsid w:val="420C274F"/>
    <w:rsid w:val="436A288B"/>
    <w:rsid w:val="445A3B32"/>
    <w:rsid w:val="44DF2AD6"/>
    <w:rsid w:val="45332A6F"/>
    <w:rsid w:val="4549123C"/>
    <w:rsid w:val="46714E70"/>
    <w:rsid w:val="46C7670D"/>
    <w:rsid w:val="47A0687C"/>
    <w:rsid w:val="47B84B17"/>
    <w:rsid w:val="47CD2529"/>
    <w:rsid w:val="482C5E7F"/>
    <w:rsid w:val="48D94910"/>
    <w:rsid w:val="493C41DB"/>
    <w:rsid w:val="49833FF7"/>
    <w:rsid w:val="49B71D80"/>
    <w:rsid w:val="49BF308F"/>
    <w:rsid w:val="4A0A4518"/>
    <w:rsid w:val="4A1D4FA7"/>
    <w:rsid w:val="4A9B3185"/>
    <w:rsid w:val="4AA06797"/>
    <w:rsid w:val="4B08477A"/>
    <w:rsid w:val="4B2C5164"/>
    <w:rsid w:val="4BE83319"/>
    <w:rsid w:val="4C9A736B"/>
    <w:rsid w:val="4D497010"/>
    <w:rsid w:val="4D6F609D"/>
    <w:rsid w:val="4D754306"/>
    <w:rsid w:val="4DFB070E"/>
    <w:rsid w:val="4E543413"/>
    <w:rsid w:val="4E8F13F8"/>
    <w:rsid w:val="4ECB517D"/>
    <w:rsid w:val="4FFC6C46"/>
    <w:rsid w:val="50173DDD"/>
    <w:rsid w:val="51543B32"/>
    <w:rsid w:val="51800D13"/>
    <w:rsid w:val="521148F2"/>
    <w:rsid w:val="53D55AFF"/>
    <w:rsid w:val="54492408"/>
    <w:rsid w:val="54507FED"/>
    <w:rsid w:val="545C36DD"/>
    <w:rsid w:val="548F7932"/>
    <w:rsid w:val="55034D1D"/>
    <w:rsid w:val="55497613"/>
    <w:rsid w:val="55E8347F"/>
    <w:rsid w:val="562E7363"/>
    <w:rsid w:val="565E0EBF"/>
    <w:rsid w:val="574359F7"/>
    <w:rsid w:val="57AC4B78"/>
    <w:rsid w:val="587F3FCE"/>
    <w:rsid w:val="58B33F35"/>
    <w:rsid w:val="595E4369"/>
    <w:rsid w:val="59FB3DE5"/>
    <w:rsid w:val="5B7E4CCE"/>
    <w:rsid w:val="5C05052D"/>
    <w:rsid w:val="5C0E1B80"/>
    <w:rsid w:val="5C4F1B7F"/>
    <w:rsid w:val="5D022039"/>
    <w:rsid w:val="5E7D4589"/>
    <w:rsid w:val="5EBB43CA"/>
    <w:rsid w:val="5F476FA5"/>
    <w:rsid w:val="60532A82"/>
    <w:rsid w:val="609B59DA"/>
    <w:rsid w:val="60A93AD8"/>
    <w:rsid w:val="60B62D38"/>
    <w:rsid w:val="61067679"/>
    <w:rsid w:val="61F07FA8"/>
    <w:rsid w:val="62EC076F"/>
    <w:rsid w:val="64DB71F5"/>
    <w:rsid w:val="65D34DA9"/>
    <w:rsid w:val="665C20B0"/>
    <w:rsid w:val="66CC2933"/>
    <w:rsid w:val="67600C28"/>
    <w:rsid w:val="678112D4"/>
    <w:rsid w:val="680A363F"/>
    <w:rsid w:val="687108B8"/>
    <w:rsid w:val="691C14A9"/>
    <w:rsid w:val="692073C4"/>
    <w:rsid w:val="69800ACA"/>
    <w:rsid w:val="69BF2282"/>
    <w:rsid w:val="69FD7706"/>
    <w:rsid w:val="6A254C33"/>
    <w:rsid w:val="6A6D6639"/>
    <w:rsid w:val="6A7719D7"/>
    <w:rsid w:val="6B6A58C7"/>
    <w:rsid w:val="6BB45058"/>
    <w:rsid w:val="6BCC61AB"/>
    <w:rsid w:val="6C511909"/>
    <w:rsid w:val="6CB577A6"/>
    <w:rsid w:val="6CFA1CDB"/>
    <w:rsid w:val="6D191D30"/>
    <w:rsid w:val="6DF530D8"/>
    <w:rsid w:val="6E86337F"/>
    <w:rsid w:val="6EAF341A"/>
    <w:rsid w:val="6FC30AAA"/>
    <w:rsid w:val="6FD95051"/>
    <w:rsid w:val="701E257E"/>
    <w:rsid w:val="702C159E"/>
    <w:rsid w:val="713759CB"/>
    <w:rsid w:val="71987C88"/>
    <w:rsid w:val="71CE6D52"/>
    <w:rsid w:val="72652BB9"/>
    <w:rsid w:val="72C309D4"/>
    <w:rsid w:val="72E713BE"/>
    <w:rsid w:val="731A15AE"/>
    <w:rsid w:val="734B0AAB"/>
    <w:rsid w:val="73B54A4A"/>
    <w:rsid w:val="747043AB"/>
    <w:rsid w:val="74A2631B"/>
    <w:rsid w:val="74AD75FB"/>
    <w:rsid w:val="74C669A0"/>
    <w:rsid w:val="758A2381"/>
    <w:rsid w:val="75AD78D6"/>
    <w:rsid w:val="7752346A"/>
    <w:rsid w:val="779C0BC8"/>
    <w:rsid w:val="77AB69F3"/>
    <w:rsid w:val="77DC4DFE"/>
    <w:rsid w:val="77E422F8"/>
    <w:rsid w:val="784604CA"/>
    <w:rsid w:val="78681D5F"/>
    <w:rsid w:val="79293367"/>
    <w:rsid w:val="7A130FB1"/>
    <w:rsid w:val="7A6D1D3E"/>
    <w:rsid w:val="7AC922EA"/>
    <w:rsid w:val="7C142DB9"/>
    <w:rsid w:val="7C3575B8"/>
    <w:rsid w:val="7C3E04B9"/>
    <w:rsid w:val="7C746BBD"/>
    <w:rsid w:val="7C902C69"/>
    <w:rsid w:val="7CB468BA"/>
    <w:rsid w:val="7D3509CC"/>
    <w:rsid w:val="7E952E26"/>
    <w:rsid w:val="7FC8211E"/>
    <w:rsid w:val="7FFF7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qFormat/>
    <w:uiPriority w:val="1"/>
    <w:pPr>
      <w:ind w:left="767"/>
      <w:outlineLvl w:val="2"/>
    </w:pPr>
    <w:rPr>
      <w:rFonts w:ascii="黑体" w:hAnsi="黑体" w:eastAsia="黑体" w:cs="黑体"/>
      <w:b/>
      <w:bCs/>
      <w:sz w:val="32"/>
      <w:szCs w:val="32"/>
      <w:lang w:val="zh-CN" w:bidi="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unhideWhenUsed/>
    <w:qFormat/>
    <w:uiPriority w:val="99"/>
    <w:pPr>
      <w:jc w:val="center"/>
    </w:pPr>
    <w:rPr>
      <w:rFonts w:eastAsia="方正大标宋简体"/>
      <w:sz w:val="76"/>
    </w:rPr>
  </w:style>
  <w:style w:type="paragraph" w:styleId="5">
    <w:name w:val="Date"/>
    <w:basedOn w:val="1"/>
    <w:next w:val="1"/>
    <w:unhideWhenUsed/>
    <w:qFormat/>
    <w:uiPriority w:val="99"/>
    <w:pPr>
      <w:ind w:left="100" w:leftChars="250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0">
    <w:name w:val="Body Text First Indent"/>
    <w:basedOn w:val="4"/>
    <w:qFormat/>
    <w:uiPriority w:val="0"/>
    <w:pPr>
      <w:ind w:firstLine="420" w:firstLineChars="100"/>
    </w:p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rPr>
  </w:style>
  <w:style w:type="character" w:styleId="15">
    <w:name w:val="Hyperlink"/>
    <w:basedOn w:val="13"/>
    <w:qFormat/>
    <w:uiPriority w:val="0"/>
    <w:rPr>
      <w:color w:val="262626"/>
      <w:sz w:val="18"/>
      <w:szCs w:val="18"/>
      <w:u w:val="none"/>
    </w:rPr>
  </w:style>
  <w:style w:type="table" w:customStyle="1" w:styleId="16">
    <w:name w:val="Table Normal"/>
    <w:unhideWhenUsed/>
    <w:qFormat/>
    <w:uiPriority w:val="0"/>
    <w:tblPr>
      <w:tblCellMar>
        <w:top w:w="0" w:type="dxa"/>
        <w:left w:w="0" w:type="dxa"/>
        <w:bottom w:w="0" w:type="dxa"/>
        <w:right w:w="0" w:type="dxa"/>
      </w:tblCellMar>
    </w:tblPr>
  </w:style>
  <w:style w:type="paragraph" w:customStyle="1" w:styleId="17">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8">
    <w:name w:val="列出段落1"/>
    <w:basedOn w:val="1"/>
    <w:qFormat/>
    <w:uiPriority w:val="99"/>
    <w:pPr>
      <w:ind w:firstLine="420" w:firstLineChars="200"/>
    </w:pPr>
    <w:rPr>
      <w:rFonts w:ascii="等线" w:hAnsi="等线" w:eastAsia="等线"/>
    </w:rPr>
  </w:style>
  <w:style w:type="paragraph" w:styleId="19">
    <w:name w:val="List Paragraph"/>
    <w:basedOn w:val="1"/>
    <w:autoRedefine/>
    <w:qFormat/>
    <w:uiPriority w:val="1"/>
    <w:pPr>
      <w:ind w:left="1088" w:hanging="322"/>
    </w:pPr>
    <w:rPr>
      <w:rFonts w:ascii="仿宋" w:hAnsi="仿宋" w:eastAsia="仿宋" w:cs="仿宋"/>
      <w:lang w:val="zh-CN" w:bidi="zh-CN"/>
    </w:rPr>
  </w:style>
  <w:style w:type="paragraph" w:customStyle="1" w:styleId="20">
    <w:name w:val="Table Text"/>
    <w:basedOn w:val="1"/>
    <w:semiHidden/>
    <w:qFormat/>
    <w:uiPriority w:val="0"/>
    <w:rPr>
      <w:rFonts w:ascii="楷体" w:hAnsi="楷体" w:eastAsia="楷体" w:cs="楷体"/>
      <w:sz w:val="20"/>
      <w:szCs w:val="20"/>
    </w:rPr>
  </w:style>
  <w:style w:type="character" w:customStyle="1" w:styleId="21">
    <w:name w:val="font31"/>
    <w:basedOn w:val="13"/>
    <w:qFormat/>
    <w:uiPriority w:val="0"/>
    <w:rPr>
      <w:rFonts w:hint="default" w:ascii="Times New Roman" w:hAnsi="Times New Roman" w:cs="Times New Roman"/>
      <w:color w:val="FF0000"/>
      <w:sz w:val="20"/>
      <w:szCs w:val="20"/>
      <w:u w:val="none"/>
    </w:rPr>
  </w:style>
  <w:style w:type="character" w:customStyle="1" w:styleId="22">
    <w:name w:val="NormalCharacter"/>
    <w:qFormat/>
    <w:uiPriority w:val="0"/>
    <w:rPr>
      <w:rFonts w:ascii="Calibri" w:hAnsi="Calibri" w:eastAsia="宋体" w:cs="Times New Roman"/>
    </w:rPr>
  </w:style>
  <w:style w:type="paragraph" w:customStyle="1" w:styleId="23">
    <w:name w:val="Body text|1"/>
    <w:basedOn w:val="1"/>
    <w:qFormat/>
    <w:uiPriority w:val="0"/>
    <w:pPr>
      <w:spacing w:line="418" w:lineRule="auto"/>
      <w:ind w:firstLine="400"/>
    </w:pPr>
    <w:rPr>
      <w:rFonts w:ascii="宋体" w:hAnsi="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4691</Words>
  <Characters>4801</Characters>
  <Lines>34</Lines>
  <Paragraphs>9</Paragraphs>
  <TotalTime>0</TotalTime>
  <ScaleCrop>false</ScaleCrop>
  <LinksUpToDate>false</LinksUpToDate>
  <CharactersWithSpaces>4838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2024-06-12T06:22:00Z</dcterms:created>
  <dc:creator>胡萍</dc:creator>
  <cp:lastModifiedBy>ᯤ⁶ᴳ⁺</cp:lastModifiedBy>
  <cp:lastPrinted>2025-03-03T02:04:00Z</cp:lastPrinted>
  <dcterms:modified xsi:type="dcterms:W3CDTF">2025-04-14T05:56:40Z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0B18065B36944FED8A6DB544F28EE69D_13</vt:lpwstr>
  </property>
  <property fmtid="{D5CDD505-2E9C-101B-9397-08002B2CF9AE}" pid="4" name="KSOTemplateDocerSaveRecord">
    <vt:lpwstr>eyJoZGlkIjoiYzY2Nzk0OTk3YWY3Nzg3NDUzM2IxZjRjZDc0ZWJkN2IiLCJ1c2VySWQiOiIzNTU4NTc4NzEifQ==</vt:lpwstr>
  </property>
</Properties>
</file>